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F77FB">
        <w:rPr>
          <w:rFonts w:ascii="Verdana" w:hAnsi="Verdana"/>
          <w:sz w:val="18"/>
          <w:szCs w:val="18"/>
        </w:rPr>
        <w:t>„</w:t>
      </w:r>
      <w:r w:rsidR="006F77FB" w:rsidRPr="00D125CA">
        <w:rPr>
          <w:rFonts w:ascii="Verdana" w:hAnsi="Verdana"/>
          <w:sz w:val="18"/>
          <w:szCs w:val="18"/>
        </w:rPr>
        <w:t>Kdyně ON – Oprava VB – projektová dokumentace</w:t>
      </w:r>
      <w:r w:rsidR="006F77FB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F77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F77FB" w:rsidRPr="006F77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F77FB"/>
    <w:rsid w:val="007042D7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06D1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844C2B-D266-483C-839E-E1A9F4F4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2020-08-04T09:33:00Z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